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bidiVisual/>
        <w:tblW w:w="882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2A2707" w:rsidRPr="002A2707" w:rsidTr="002A2707">
        <w:trPr>
          <w:trHeight w:val="295"/>
        </w:trPr>
        <w:tc>
          <w:tcPr>
            <w:tcW w:w="5049" w:type="dxa"/>
            <w:gridSpan w:val="3"/>
          </w:tcPr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771" w:type="dxa"/>
            <w:hideMark/>
          </w:tcPr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  <w:rtl/>
              </w:rPr>
            </w:pPr>
            <w:r w:rsidRPr="002A2707">
              <w:rPr>
                <w:rFonts w:ascii="Arial" w:hAnsi="Arial" w:cs="David"/>
                <w:b/>
                <w:bCs/>
                <w:sz w:val="26"/>
                <w:szCs w:val="26"/>
                <w:rtl/>
              </w:rPr>
              <w:t>מספר בקשה:</w:t>
            </w:r>
            <w:r w:rsidRPr="002A2707">
              <w:rPr>
                <w:rFonts w:cs="David"/>
                <w:noProof/>
                <w:sz w:val="24"/>
                <w:szCs w:val="24"/>
                <w:rtl/>
              </w:rPr>
              <w:t>2</w:t>
            </w:r>
          </w:p>
        </w:tc>
      </w:tr>
      <w:tr w:rsidR="002A2707" w:rsidRPr="002A2707" w:rsidTr="002A2707">
        <w:tc>
          <w:tcPr>
            <w:tcW w:w="743" w:type="dxa"/>
            <w:hideMark/>
          </w:tcPr>
          <w:p w:rsidR="002A2707" w:rsidRPr="002A2707" w:rsidRDefault="002A2707" w:rsidP="002A2707">
            <w:pPr>
              <w:suppressLineNumbers/>
              <w:bidi w:val="0"/>
              <w:jc w:val="both"/>
              <w:rPr>
                <w:rFonts w:ascii="Arial" w:hAnsi="Arial" w:cs="David"/>
                <w:b/>
                <w:bCs/>
                <w:noProof/>
                <w:sz w:val="24"/>
                <w:szCs w:val="24"/>
                <w:rtl/>
              </w:rPr>
            </w:pPr>
            <w:r w:rsidRPr="002A2707">
              <w:rPr>
                <w:rFonts w:ascii="Arial" w:hAnsi="Arial" w:cs="David"/>
                <w:b/>
                <w:bCs/>
                <w:noProof/>
                <w:sz w:val="24"/>
                <w:szCs w:val="24"/>
                <w:rtl/>
              </w:rPr>
              <w:t xml:space="preserve">לפני </w:t>
            </w:r>
          </w:p>
        </w:tc>
        <w:tc>
          <w:tcPr>
            <w:tcW w:w="8077" w:type="dxa"/>
            <w:gridSpan w:val="3"/>
          </w:tcPr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noProof/>
                <w:sz w:val="24"/>
                <w:szCs w:val="24"/>
                <w:rtl/>
              </w:rPr>
            </w:pPr>
            <w:r w:rsidRPr="002A2707">
              <w:rPr>
                <w:rFonts w:ascii="Arial" w:hAnsi="Arial" w:cs="David"/>
                <w:b/>
                <w:bCs/>
                <w:noProof/>
                <w:sz w:val="24"/>
                <w:szCs w:val="24"/>
                <w:rtl/>
              </w:rPr>
              <w:t>כבוד ה</w:t>
            </w:r>
            <w:r w:rsidRPr="002A2707">
              <w:rPr>
                <w:rFonts w:cs="David"/>
                <w:b/>
                <w:bCs/>
                <w:noProof/>
                <w:sz w:val="24"/>
                <w:szCs w:val="24"/>
                <w:rtl/>
              </w:rPr>
              <w:t>שופטת</w:t>
            </w:r>
            <w:r w:rsidRPr="002A2707">
              <w:rPr>
                <w:rFonts w:ascii="Arial" w:hAnsi="Arial" w:cs="David"/>
                <w:b/>
                <w:bCs/>
                <w:noProof/>
                <w:sz w:val="24"/>
                <w:szCs w:val="24"/>
                <w:rtl/>
              </w:rPr>
              <w:t xml:space="preserve">  </w:t>
            </w:r>
            <w:r w:rsidRPr="002A2707">
              <w:rPr>
                <w:rFonts w:cs="David"/>
                <w:b/>
                <w:bCs/>
                <w:noProof/>
                <w:sz w:val="24"/>
                <w:szCs w:val="24"/>
                <w:rtl/>
              </w:rPr>
              <w:t>עידית בן-דב ג'וליאן</w:t>
            </w:r>
          </w:p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FrankRuehl"/>
                <w:b/>
                <w:bCs/>
                <w:noProof/>
                <w:sz w:val="28"/>
                <w:szCs w:val="28"/>
                <w:highlight w:val="yellow"/>
                <w:rtl/>
              </w:rPr>
            </w:pPr>
          </w:p>
        </w:tc>
      </w:tr>
      <w:tr w:rsidR="002A2707" w:rsidRPr="002A2707" w:rsidTr="002A2707">
        <w:tc>
          <w:tcPr>
            <w:tcW w:w="3249" w:type="dxa"/>
            <w:gridSpan w:val="2"/>
          </w:tcPr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</w:rPr>
            </w:pPr>
          </w:p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</w:rPr>
            </w:pPr>
            <w:r w:rsidRPr="002A2707">
              <w:rPr>
                <w:rFonts w:cs="David"/>
                <w:b/>
                <w:bCs/>
                <w:noProof/>
                <w:sz w:val="24"/>
                <w:szCs w:val="24"/>
                <w:rtl/>
              </w:rPr>
              <w:t>מבקש</w:t>
            </w:r>
          </w:p>
        </w:tc>
        <w:tc>
          <w:tcPr>
            <w:tcW w:w="5571" w:type="dxa"/>
            <w:gridSpan w:val="2"/>
          </w:tcPr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  <w:rtl/>
              </w:rPr>
            </w:pPr>
          </w:p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  <w:rtl/>
              </w:rPr>
            </w:pPr>
            <w:r w:rsidRPr="002A2707">
              <w:rPr>
                <w:rFonts w:ascii="Arial" w:hAnsi="Arial" w:cs="David"/>
                <w:b/>
                <w:bCs/>
                <w:sz w:val="26"/>
                <w:szCs w:val="26"/>
                <w:rtl/>
              </w:rPr>
              <w:t>א</w:t>
            </w:r>
            <w:r>
              <w:rPr>
                <w:rFonts w:ascii="Arial" w:hAnsi="Arial" w:cs="David" w:hint="cs"/>
                <w:b/>
                <w:bCs/>
                <w:sz w:val="26"/>
                <w:szCs w:val="26"/>
                <w:rtl/>
              </w:rPr>
              <w:t xml:space="preserve">.י. </w:t>
            </w:r>
          </w:p>
          <w:p w:rsidR="002A2707" w:rsidRPr="002A2707" w:rsidRDefault="002A2707" w:rsidP="002A2707">
            <w:pPr>
              <w:suppressLineNumbers/>
              <w:bidi w:val="0"/>
              <w:rPr>
                <w:rFonts w:cs="David"/>
                <w:b/>
                <w:bCs/>
                <w:sz w:val="26"/>
                <w:szCs w:val="26"/>
                <w:rtl/>
              </w:rPr>
            </w:pPr>
            <w:r w:rsidRPr="002A2707">
              <w:rPr>
                <w:rFonts w:cs="David"/>
                <w:b/>
                <w:bCs/>
                <w:sz w:val="26"/>
                <w:szCs w:val="26"/>
                <w:rtl/>
              </w:rPr>
              <w:t>ע"י ב"כ עו"ד מיטל מרלי</w:t>
            </w:r>
          </w:p>
        </w:tc>
      </w:tr>
      <w:tr w:rsidR="002A2707" w:rsidRPr="002A2707" w:rsidTr="002A2707">
        <w:tc>
          <w:tcPr>
            <w:tcW w:w="8820" w:type="dxa"/>
            <w:gridSpan w:val="4"/>
          </w:tcPr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</w:rPr>
            </w:pPr>
          </w:p>
          <w:p w:rsidR="002A2707" w:rsidRPr="002A2707" w:rsidRDefault="002A2707" w:rsidP="002A2707">
            <w:pPr>
              <w:suppressLineNumbers/>
              <w:bidi w:val="0"/>
              <w:jc w:val="center"/>
              <w:rPr>
                <w:rFonts w:ascii="Arial" w:hAnsi="Arial" w:cs="David"/>
                <w:b/>
                <w:bCs/>
                <w:sz w:val="26"/>
                <w:szCs w:val="26"/>
                <w:rtl/>
              </w:rPr>
            </w:pPr>
            <w:r w:rsidRPr="002A2707">
              <w:rPr>
                <w:rFonts w:ascii="Arial" w:hAnsi="Arial" w:cs="David"/>
                <w:b/>
                <w:bCs/>
                <w:sz w:val="26"/>
                <w:szCs w:val="26"/>
                <w:rtl/>
              </w:rPr>
              <w:t>נגד</w:t>
            </w:r>
          </w:p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  <w:rtl/>
              </w:rPr>
            </w:pPr>
          </w:p>
        </w:tc>
      </w:tr>
      <w:tr w:rsidR="002A2707" w:rsidRPr="002A2707" w:rsidTr="002A2707">
        <w:tc>
          <w:tcPr>
            <w:tcW w:w="3249" w:type="dxa"/>
            <w:gridSpan w:val="2"/>
            <w:hideMark/>
          </w:tcPr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</w:rPr>
            </w:pPr>
            <w:r w:rsidRPr="002A2707">
              <w:rPr>
                <w:rFonts w:cs="David"/>
                <w:b/>
                <w:bCs/>
                <w:noProof/>
                <w:sz w:val="24"/>
                <w:szCs w:val="24"/>
                <w:rtl/>
              </w:rPr>
              <w:t>משיבה</w:t>
            </w:r>
          </w:p>
        </w:tc>
        <w:tc>
          <w:tcPr>
            <w:tcW w:w="5571" w:type="dxa"/>
            <w:gridSpan w:val="2"/>
          </w:tcPr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</w:rPr>
            </w:pPr>
            <w:r w:rsidRPr="002A2707">
              <w:rPr>
                <w:rFonts w:cs="David"/>
                <w:b/>
                <w:bCs/>
                <w:noProof/>
                <w:sz w:val="24"/>
                <w:szCs w:val="24"/>
                <w:rtl/>
              </w:rPr>
              <w:t>ד</w:t>
            </w:r>
            <w:r>
              <w:rPr>
                <w:rFonts w:cs="David" w:hint="cs"/>
                <w:b/>
                <w:bCs/>
                <w:noProof/>
                <w:sz w:val="24"/>
                <w:szCs w:val="24"/>
                <w:rtl/>
              </w:rPr>
              <w:t xml:space="preserve">.י. </w:t>
            </w:r>
          </w:p>
          <w:p w:rsidR="002A2707" w:rsidRPr="002A2707" w:rsidRDefault="002A2707" w:rsidP="002A2707">
            <w:pPr>
              <w:suppressLineNumbers/>
              <w:bidi w:val="0"/>
              <w:rPr>
                <w:rFonts w:ascii="Arial" w:hAnsi="Arial" w:cs="David"/>
                <w:b/>
                <w:bCs/>
                <w:sz w:val="26"/>
                <w:szCs w:val="26"/>
                <w:rtl/>
              </w:rPr>
            </w:pPr>
            <w:r w:rsidRPr="002A2707">
              <w:rPr>
                <w:rFonts w:ascii="Arial" w:hAnsi="Arial" w:cs="David"/>
                <w:b/>
                <w:bCs/>
                <w:sz w:val="26"/>
                <w:szCs w:val="26"/>
                <w:rtl/>
              </w:rPr>
              <w:t>ע"י ב"כ עו"ד אביעד נהרי</w:t>
            </w:r>
          </w:p>
          <w:p w:rsidR="002A2707" w:rsidRPr="002A2707" w:rsidRDefault="002A2707" w:rsidP="002A2707">
            <w:pPr>
              <w:suppressLineNumbers/>
              <w:bidi w:val="0"/>
              <w:rPr>
                <w:rFonts w:cs="David"/>
                <w:b/>
                <w:bCs/>
                <w:sz w:val="26"/>
                <w:szCs w:val="26"/>
                <w:rtl/>
              </w:rPr>
            </w:pPr>
          </w:p>
        </w:tc>
      </w:tr>
    </w:tbl>
    <w:p w:rsidR="002A2707" w:rsidRPr="002A2707" w:rsidRDefault="002A2707" w:rsidP="002A2707">
      <w:pPr>
        <w:suppressLineNumbers/>
        <w:spacing w:after="0" w:line="240" w:lineRule="auto"/>
        <w:rPr>
          <w:rFonts w:ascii="Times New Roman" w:eastAsia="Times New Roman" w:hAnsi="Times New Roman" w:cs="David"/>
          <w:noProof/>
          <w:sz w:val="24"/>
          <w:szCs w:val="24"/>
          <w:rtl/>
        </w:rPr>
      </w:pPr>
    </w:p>
    <w:tbl>
      <w:tblPr>
        <w:tblStyle w:val="a3"/>
        <w:bidiVisual/>
        <w:tblW w:w="8820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2A2707" w:rsidRPr="002A2707" w:rsidTr="002A2707">
        <w:trPr>
          <w:jc w:val="center"/>
        </w:trPr>
        <w:tc>
          <w:tcPr>
            <w:tcW w:w="8820" w:type="dxa"/>
          </w:tcPr>
          <w:p w:rsidR="002A2707" w:rsidRPr="002A2707" w:rsidRDefault="002A2707" w:rsidP="002A2707">
            <w:pPr>
              <w:bidi w:val="0"/>
              <w:jc w:val="center"/>
              <w:rPr>
                <w:rFonts w:ascii="Arial" w:hAnsi="Arial" w:cs="David"/>
                <w:b/>
                <w:bCs/>
                <w:sz w:val="28"/>
                <w:szCs w:val="28"/>
                <w:u w:val="single"/>
                <w:rtl/>
              </w:rPr>
            </w:pPr>
            <w:r w:rsidRPr="002A2707">
              <w:rPr>
                <w:rFonts w:ascii="Arial" w:hAnsi="Arial" w:cs="David"/>
                <w:b/>
                <w:bCs/>
                <w:sz w:val="28"/>
                <w:szCs w:val="28"/>
                <w:u w:val="single"/>
                <w:rtl/>
              </w:rPr>
              <w:t>החלטה בעניין מזונות קטינות</w:t>
            </w:r>
          </w:p>
          <w:p w:rsidR="002A2707" w:rsidRPr="002A2707" w:rsidRDefault="002A2707" w:rsidP="002A2707">
            <w:pPr>
              <w:bidi w:val="0"/>
              <w:jc w:val="center"/>
              <w:rPr>
                <w:rFonts w:ascii="Arial" w:hAnsi="Arial" w:cs="David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</w:tbl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</w:rPr>
      </w:pPr>
      <w:bookmarkStart w:id="0" w:name="NGCSBookmark"/>
      <w:bookmarkEnd w:id="0"/>
      <w:r w:rsidRPr="002A2707">
        <w:rPr>
          <w:rFonts w:ascii="Arial" w:eastAsia="Times New Roman" w:hAnsi="Arial" w:cs="David"/>
          <w:sz w:val="24"/>
          <w:szCs w:val="24"/>
          <w:rtl/>
        </w:rPr>
        <w:t>1.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 xml:space="preserve">לפני בקשת האב לביטול זמני של חיובו במזונות ומדור בנותיהם הקטינות של הצדדים </w:t>
      </w:r>
      <w:r>
        <w:rPr>
          <w:rFonts w:ascii="Arial" w:eastAsia="Times New Roman" w:hAnsi="Arial" w:cs="David" w:hint="cs"/>
          <w:sz w:val="24"/>
          <w:szCs w:val="24"/>
          <w:rtl/>
        </w:rPr>
        <w:t>... -</w:t>
      </w:r>
      <w:r w:rsidRPr="002A2707">
        <w:rPr>
          <w:rFonts w:ascii="Arial" w:eastAsia="Times New Roman" w:hAnsi="Arial" w:cs="David"/>
          <w:sz w:val="24"/>
          <w:szCs w:val="24"/>
          <w:rtl/>
        </w:rPr>
        <w:t xml:space="preserve"> כבת 13, </w:t>
      </w:r>
      <w:r>
        <w:rPr>
          <w:rFonts w:ascii="Arial" w:eastAsia="Times New Roman" w:hAnsi="Arial" w:cs="David" w:hint="cs"/>
          <w:sz w:val="24"/>
          <w:szCs w:val="24"/>
          <w:rtl/>
        </w:rPr>
        <w:t xml:space="preserve">... </w:t>
      </w:r>
      <w:r w:rsidRPr="002A2707">
        <w:rPr>
          <w:rFonts w:ascii="Arial" w:eastAsia="Times New Roman" w:hAnsi="Arial" w:cs="David"/>
          <w:sz w:val="24"/>
          <w:szCs w:val="24"/>
          <w:rtl/>
        </w:rPr>
        <w:t>– כבת 10, לנוכח שינוי נסיבות מהותי.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>הבקשה הוגשה במסגרת תביעת האב מיום 20.6.24 לביטול מזונות ומדור הקטינות.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>טרם חלף המועד להגשת כתב הגנה.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>דיון קדם משפט בתביעה קבוע ליום 8.12.24.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2.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 xml:space="preserve">בין הצדדים אושר וניתן תוקף של פסק דין להסכם גירושין ביום </w:t>
      </w:r>
      <w:r w:rsidRPr="002A2707">
        <w:rPr>
          <w:rFonts w:ascii="Arial" w:eastAsia="Times New Roman" w:hAnsi="Arial" w:cs="David"/>
          <w:sz w:val="24"/>
          <w:szCs w:val="24"/>
          <w:u w:val="single"/>
          <w:rtl/>
        </w:rPr>
        <w:t>21.7.16</w:t>
      </w:r>
      <w:r w:rsidRPr="002A2707">
        <w:rPr>
          <w:rFonts w:ascii="Arial" w:eastAsia="Times New Roman" w:hAnsi="Arial" w:cs="David"/>
          <w:sz w:val="24"/>
          <w:szCs w:val="24"/>
          <w:rtl/>
        </w:rPr>
        <w:t>, במסגרתו נקבעו, בין היתר, חלוקת זמני שהות של הקטינות בין ההורים ומזונותיהן.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b/>
          <w:bCs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</w:r>
      <w:r w:rsidRPr="002A2707">
        <w:rPr>
          <w:rFonts w:ascii="Arial" w:eastAsia="Times New Roman" w:hAnsi="Arial" w:cs="David"/>
          <w:b/>
          <w:bCs/>
          <w:sz w:val="24"/>
          <w:szCs w:val="24"/>
          <w:rtl/>
        </w:rPr>
        <w:t>במועד פסק הדין –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>הקטינות היו מקטני קטינים;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 xml:space="preserve">זמני השהות עם האב נקבעו לפעם בשבוע ביום ד' כולל לינה ולכל </w:t>
      </w:r>
      <w:proofErr w:type="spellStart"/>
      <w:r w:rsidRPr="002A2707">
        <w:rPr>
          <w:rFonts w:ascii="Arial" w:eastAsia="Times New Roman" w:hAnsi="Arial" w:cs="David"/>
          <w:sz w:val="24"/>
          <w:szCs w:val="24"/>
          <w:rtl/>
        </w:rPr>
        <w:t>סופ"ש</w:t>
      </w:r>
      <w:proofErr w:type="spellEnd"/>
      <w:r w:rsidRPr="002A2707">
        <w:rPr>
          <w:rFonts w:ascii="Arial" w:eastAsia="Times New Roman" w:hAnsi="Arial" w:cs="David"/>
          <w:sz w:val="24"/>
          <w:szCs w:val="24"/>
          <w:rtl/>
        </w:rPr>
        <w:t xml:space="preserve"> שני ממסגרות החינוך ביום ו' עד מסגרות החינוך ביום א'. ביתר הימים נקבע כי הקטינות ישהו עם האם;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>נקבע כי האב ישלם לידי האם למזונות הקטינות סך 1,800 ₪ לחודש עבור כל בת (סה"כ 3,600 ₪ לחודש), ובנוסף 40% מהוצאות שכ"ד של האם או מתשלום החזר משכנתא שלא יעלה על 4,600 ₪ לחודש.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 xml:space="preserve">נקבע כי הצדדים </w:t>
      </w:r>
      <w:proofErr w:type="spellStart"/>
      <w:r w:rsidRPr="002A2707">
        <w:rPr>
          <w:rFonts w:ascii="Arial" w:eastAsia="Times New Roman" w:hAnsi="Arial" w:cs="David"/>
          <w:sz w:val="24"/>
          <w:szCs w:val="24"/>
          <w:rtl/>
        </w:rPr>
        <w:t>ישאו</w:t>
      </w:r>
      <w:proofErr w:type="spellEnd"/>
      <w:r w:rsidRPr="002A2707">
        <w:rPr>
          <w:rFonts w:ascii="Arial" w:eastAsia="Times New Roman" w:hAnsi="Arial" w:cs="David"/>
          <w:sz w:val="24"/>
          <w:szCs w:val="24"/>
          <w:rtl/>
        </w:rPr>
        <w:t xml:space="preserve"> בהוצאות חינוך ורפואת הקטינות בחלקים שווים.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3.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 xml:space="preserve">במסגרת פסק דין מיום </w:t>
      </w:r>
      <w:r w:rsidRPr="002A2707">
        <w:rPr>
          <w:rFonts w:ascii="Arial" w:eastAsia="Times New Roman" w:hAnsi="Arial" w:cs="David"/>
          <w:sz w:val="24"/>
          <w:szCs w:val="24"/>
          <w:u w:val="single"/>
          <w:rtl/>
        </w:rPr>
        <w:t>23.6.23</w:t>
      </w:r>
      <w:r w:rsidRPr="002A2707">
        <w:rPr>
          <w:rFonts w:ascii="Arial" w:eastAsia="Times New Roman" w:hAnsi="Arial" w:cs="David"/>
          <w:sz w:val="24"/>
          <w:szCs w:val="24"/>
          <w:rtl/>
        </w:rPr>
        <w:t xml:space="preserve"> בתביעת האם להעתקת מקום מגוריה עם הקטינות, נקבע כי האם רשאית להעתיק מגוריה, לצד זאת מסגרות החינוך של הקטינות יישארו סמוך למקום מגורי האב, מנימוקי פסק הדין.</w:t>
      </w:r>
    </w:p>
    <w:p w:rsidR="002A2707" w:rsidRPr="002A2707" w:rsidRDefault="002A2707" w:rsidP="002A2707">
      <w:pPr>
        <w:spacing w:after="0" w:line="360" w:lineRule="auto"/>
        <w:ind w:left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 xml:space="preserve">בהחלטה מיום </w:t>
      </w:r>
      <w:r w:rsidRPr="002A2707">
        <w:rPr>
          <w:rFonts w:ascii="Arial" w:eastAsia="Times New Roman" w:hAnsi="Arial" w:cs="David"/>
          <w:sz w:val="24"/>
          <w:szCs w:val="24"/>
          <w:u w:val="single"/>
          <w:rtl/>
        </w:rPr>
        <w:t>11.12.23</w:t>
      </w:r>
      <w:r w:rsidRPr="002A2707">
        <w:rPr>
          <w:rFonts w:ascii="Arial" w:eastAsia="Times New Roman" w:hAnsi="Arial" w:cs="David"/>
          <w:sz w:val="24"/>
          <w:szCs w:val="24"/>
          <w:rtl/>
        </w:rPr>
        <w:t xml:space="preserve"> אשר ניתנה במסגרת הליך תלוי ועומד בתביעת האב בעניין אחריות הורית וחלוקת זמני שהות נקבע, מנימוקי ההחלטה, כי הקטינות ישהו במהלך השבוע עם האב בימים </w:t>
      </w:r>
      <w:proofErr w:type="spellStart"/>
      <w:r w:rsidRPr="002A2707">
        <w:rPr>
          <w:rFonts w:ascii="Arial" w:eastAsia="Times New Roman" w:hAnsi="Arial" w:cs="David"/>
          <w:sz w:val="24"/>
          <w:szCs w:val="24"/>
          <w:rtl/>
        </w:rPr>
        <w:t>ב'+ג'+ד</w:t>
      </w:r>
      <w:proofErr w:type="spellEnd"/>
      <w:r w:rsidRPr="002A2707">
        <w:rPr>
          <w:rFonts w:ascii="Arial" w:eastAsia="Times New Roman" w:hAnsi="Arial" w:cs="David"/>
          <w:sz w:val="24"/>
          <w:szCs w:val="24"/>
          <w:rtl/>
        </w:rPr>
        <w:t xml:space="preserve">' ועם האם בימים </w:t>
      </w:r>
      <w:proofErr w:type="spellStart"/>
      <w:r w:rsidRPr="002A2707">
        <w:rPr>
          <w:rFonts w:ascii="Arial" w:eastAsia="Times New Roman" w:hAnsi="Arial" w:cs="David"/>
          <w:sz w:val="24"/>
          <w:szCs w:val="24"/>
          <w:rtl/>
        </w:rPr>
        <w:t>א'+ה</w:t>
      </w:r>
      <w:proofErr w:type="spellEnd"/>
      <w:r w:rsidRPr="002A2707">
        <w:rPr>
          <w:rFonts w:ascii="Arial" w:eastAsia="Times New Roman" w:hAnsi="Arial" w:cs="David"/>
          <w:sz w:val="24"/>
          <w:szCs w:val="24"/>
          <w:rtl/>
        </w:rPr>
        <w:t>', ממסגרות החינוך עד מסגרות החינוך למחרת. בסופי שבוע הקטינות שוהות עם כל אחד מההורים לסירוגין, ממסגרות החינוך ביום ו' עד מסגרות החינוך ביום א'.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lastRenderedPageBreak/>
        <w:t>4.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 xml:space="preserve">תביעת האב במסגרתה הבקשה שלפני הנה לביטול תשלום מזונות שוטפים ומדור בהם חויב בפסק הדין העומד כיום ע"ס 6,132 ₪ לחודש (לא כולל הוצאות חינוך ורפואה), לנוכח שינוי נסיבות מהותי נטען, ובתמצית: </w:t>
      </w:r>
    </w:p>
    <w:p w:rsidR="002A2707" w:rsidRPr="002A2707" w:rsidRDefault="002A2707" w:rsidP="002A2707">
      <w:pPr>
        <w:tabs>
          <w:tab w:val="left" w:pos="992"/>
        </w:tabs>
        <w:spacing w:after="0" w:line="360" w:lineRule="auto"/>
        <w:ind w:left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-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>הקטינות, אשר היו מקטני קטינים במועד פסק הדין, כיום כבנות 13 ו-10;</w:t>
      </w:r>
    </w:p>
    <w:p w:rsidR="002A2707" w:rsidRPr="002A2707" w:rsidRDefault="002A2707" w:rsidP="002A2707">
      <w:pPr>
        <w:tabs>
          <w:tab w:val="left" w:pos="992"/>
        </w:tabs>
        <w:spacing w:after="0" w:line="360" w:lineRule="auto"/>
        <w:ind w:left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-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>שינוי מהותי בחלוקת זמני השהות שנקבעה בהחלטה מיום 11.12.23;</w:t>
      </w:r>
    </w:p>
    <w:p w:rsidR="002A2707" w:rsidRPr="002A2707" w:rsidRDefault="002A2707" w:rsidP="002A2707">
      <w:pPr>
        <w:tabs>
          <w:tab w:val="left" w:pos="992"/>
        </w:tabs>
        <w:spacing w:after="0" w:line="360" w:lineRule="auto"/>
        <w:ind w:left="990" w:hanging="27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-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>הפחתה משמעותית בהכנסתו הפנויה של האב – בעוד שבמועד פסק הדין השתכר כ-20,000 ₪ לחודש, האב פוטר ביום 15.3.24 וכיום הכנסתו כ-8,000 ₪ לחודש, האב בזוגיות ונולד לו בן נוסף, האב שוכר דירה למגוריו עם בת זוגו ילדם המשותף והקטינות בסך 8,300 ₪ לחודש, האב נאלץ ליטול הלוואות אותן מחזיר מדי חודש;</w:t>
      </w:r>
    </w:p>
    <w:p w:rsidR="002A2707" w:rsidRPr="002A2707" w:rsidRDefault="002A2707" w:rsidP="002A2707">
      <w:pPr>
        <w:tabs>
          <w:tab w:val="left" w:pos="992"/>
        </w:tabs>
        <w:spacing w:after="0" w:line="360" w:lineRule="auto"/>
        <w:ind w:left="990" w:hanging="27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-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>גידול בהכנסתה הפנויה של האם – האב אינו יודע מה עושה כיום האם וכמה משתכרת, האם למדה, במהלך התקופה האם רכשה דירה המושכרת על ידה.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5.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>הבקשה הומצאה לאם ביום 24.6.24 כעולה מאישור מסירה שנסרק והיה עליה להגיש תגובה עד יום 8.7.24.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 xml:space="preserve">ביום 16.7.24, שבוע לאחר חלוף המועד, הגישה האם בקשה להארכת מועד להגשת תגובה. לפנים משורת הדין ניתנה לה ארכה להגשת תגובה עד יום 21.7.24. נקבע כי בהעדר תגובה </w:t>
      </w:r>
      <w:proofErr w:type="spellStart"/>
      <w:r w:rsidRPr="002A2707">
        <w:rPr>
          <w:rFonts w:ascii="Arial" w:eastAsia="Times New Roman" w:hAnsi="Arial" w:cs="David"/>
          <w:sz w:val="24"/>
          <w:szCs w:val="24"/>
          <w:rtl/>
        </w:rPr>
        <w:t>תנתן</w:t>
      </w:r>
      <w:proofErr w:type="spellEnd"/>
      <w:r w:rsidRPr="002A2707">
        <w:rPr>
          <w:rFonts w:ascii="Arial" w:eastAsia="Times New Roman" w:hAnsi="Arial" w:cs="David"/>
          <w:sz w:val="24"/>
          <w:szCs w:val="24"/>
          <w:rtl/>
        </w:rPr>
        <w:t xml:space="preserve"> החלטה על יסוד החומר שבתיק.</w:t>
      </w:r>
    </w:p>
    <w:p w:rsidR="002A2707" w:rsidRPr="002A2707" w:rsidRDefault="002A2707" w:rsidP="002A2707">
      <w:pPr>
        <w:spacing w:after="0" w:line="360" w:lineRule="auto"/>
        <w:ind w:left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האם בחרה שלא להגיש תגובה עד עתה, בקשה נוספת שהגישה היום למתן ארכה, נדחתה.</w:t>
      </w:r>
    </w:p>
    <w:p w:rsidR="002A2707" w:rsidRPr="002A2707" w:rsidRDefault="002A2707" w:rsidP="002A2707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6.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>על יסוד הבקשה ובהעדר תגובת האם, על פניו חל שינוי נסיבות מהותי המצדיק בחינה נוספת של חלוקת הוצאות הקטינות בין ההורים.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>מדובר בשתי קטינות מעל גיל 6 אשר מתגוררות עם האב כבית עיקרי. חלוקת זמני השהות כ- 60% עם האב ו40% עם האם. זאת בשינוי מהותי מחלוקת הזמנים במועד פסק הדין.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 xml:space="preserve">הכנסתו של האב כעולה מהבקשה הנתמכת בתצהירו ומאסמכתאות שצורפו פחתה מסך 20,000 ₪ לחודש לסך 8,000 ₪ לחודש, מחודש 5/23. בשים לב כי האב מתגורר עם בת זוגו וילדיו בדירה שכורה, חלקו </w:t>
      </w:r>
      <w:proofErr w:type="spellStart"/>
      <w:r w:rsidRPr="002A2707">
        <w:rPr>
          <w:rFonts w:ascii="Arial" w:eastAsia="Times New Roman" w:hAnsi="Arial" w:cs="David"/>
          <w:sz w:val="24"/>
          <w:szCs w:val="24"/>
          <w:rtl/>
        </w:rPr>
        <w:t>בדמ"ש</w:t>
      </w:r>
      <w:proofErr w:type="spellEnd"/>
      <w:r w:rsidRPr="002A2707">
        <w:rPr>
          <w:rFonts w:ascii="Arial" w:eastAsia="Times New Roman" w:hAnsi="Arial" w:cs="David"/>
          <w:sz w:val="24"/>
          <w:szCs w:val="24"/>
          <w:rtl/>
        </w:rPr>
        <w:t xml:space="preserve"> כ-4,150 ₪ לחודש (מחצית). הכנסתו הפנויה לכל היותר 3,850 ₪ לחודש. האב מחזיר הלוואות על פי הנטען ואסמכתאות שצורפו.</w:t>
      </w:r>
    </w:p>
    <w:p w:rsidR="002A2707" w:rsidRPr="002A2707" w:rsidRDefault="002A2707" w:rsidP="002A2707">
      <w:pPr>
        <w:spacing w:after="0" w:line="360" w:lineRule="auto"/>
        <w:ind w:left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הכנסתה של האם אינה לפני, לאחר שהאם בחרה שלא להגיב לבקשה ולפרט כנדרש את הכנסותיה מכל מקור והוצאותיה, ביחס להכנסתה במועד פסק הדין.</w:t>
      </w:r>
    </w:p>
    <w:p w:rsidR="002A2707" w:rsidRPr="002A2707" w:rsidRDefault="002A2707" w:rsidP="002A2707">
      <w:pPr>
        <w:spacing w:after="0" w:line="360" w:lineRule="auto"/>
        <w:ind w:left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לצד זאת לא נסתרה טענת האב כי האם רכשה בינתיים דירה המושכרת על ידה כהכנסה נוספת.</w:t>
      </w:r>
    </w:p>
    <w:p w:rsidR="002A2707" w:rsidRPr="002A2707" w:rsidRDefault="002A2707" w:rsidP="002A2707">
      <w:pPr>
        <w:spacing w:after="0" w:line="360" w:lineRule="auto"/>
        <w:ind w:left="720"/>
        <w:jc w:val="both"/>
        <w:rPr>
          <w:rFonts w:ascii="Arial" w:eastAsia="Times New Roman" w:hAnsi="Arial" w:cs="David"/>
          <w:sz w:val="24"/>
          <w:szCs w:val="24"/>
          <w:rtl/>
        </w:rPr>
      </w:pP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7.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>בנסיבות המפורטות אני מוצאת לקבוע בשלב זה, כי יבוטל חיוב האב בתשלום מזונות הקטינות ומדורן לידי האם, ממועד ההחלטה מיום 11.12.23 בעניין חלוקת זמני השהות.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ab/>
        <w:t xml:space="preserve">כל אחד מההורים </w:t>
      </w:r>
      <w:proofErr w:type="spellStart"/>
      <w:r w:rsidRPr="002A2707">
        <w:rPr>
          <w:rFonts w:ascii="Arial" w:eastAsia="Times New Roman" w:hAnsi="Arial" w:cs="David"/>
          <w:sz w:val="24"/>
          <w:szCs w:val="24"/>
          <w:rtl/>
        </w:rPr>
        <w:t>ישא</w:t>
      </w:r>
      <w:proofErr w:type="spellEnd"/>
      <w:r w:rsidRPr="002A2707">
        <w:rPr>
          <w:rFonts w:ascii="Arial" w:eastAsia="Times New Roman" w:hAnsi="Arial" w:cs="David"/>
          <w:sz w:val="24"/>
          <w:szCs w:val="24"/>
          <w:rtl/>
        </w:rPr>
        <w:t xml:space="preserve"> במלוא צרכי הקטינות תלויי שהות לרבות מדור והחזקת בית, בזמנים בהן הקטינות שוהות עמו.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lastRenderedPageBreak/>
        <w:tab/>
        <w:t>אין שינוי בחלוקת צרכי חינוך ורפואת הקטינות בין ההורים בהתאם לפסק הדין.</w:t>
      </w:r>
    </w:p>
    <w:p w:rsidR="002A2707" w:rsidRPr="002A2707" w:rsidRDefault="002A2707" w:rsidP="002A2707">
      <w:pPr>
        <w:spacing w:after="0" w:line="360" w:lineRule="auto"/>
        <w:ind w:left="720" w:hanging="720"/>
        <w:jc w:val="both"/>
        <w:rPr>
          <w:rFonts w:ascii="Arial" w:eastAsia="Times New Roman" w:hAnsi="Arial" w:cs="David"/>
          <w:sz w:val="24"/>
          <w:szCs w:val="24"/>
          <w:rtl/>
        </w:rPr>
      </w:pPr>
    </w:p>
    <w:p w:rsidR="002A2707" w:rsidRPr="002A2707" w:rsidRDefault="002A2707" w:rsidP="002A2707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8.</w:t>
      </w:r>
      <w:r w:rsidRPr="002A2707">
        <w:rPr>
          <w:rFonts w:ascii="Arial" w:eastAsia="Times New Roman" w:hAnsi="Arial" w:cs="David"/>
          <w:sz w:val="24"/>
          <w:szCs w:val="24"/>
          <w:rtl/>
        </w:rPr>
        <w:tab/>
        <w:t>בכל הנוגע לבקשה להחזר רטרואקטיבי של המזונות –</w:t>
      </w:r>
    </w:p>
    <w:p w:rsidR="002A2707" w:rsidRPr="002A2707" w:rsidRDefault="002A2707" w:rsidP="002A2707">
      <w:pPr>
        <w:spacing w:after="0" w:line="360" w:lineRule="auto"/>
        <w:ind w:left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בשלב זה נמצא לקבוע כי ככל ששולמו מזונות שוטפים ומדור של הקטינות על ידי האב לידי האם על פי פסק הדין ממועד הגשת התביעה 20.6.24 – האם תשיב לאב את הסכומים ששולמו.</w:t>
      </w:r>
    </w:p>
    <w:p w:rsidR="002A2707" w:rsidRPr="002A2707" w:rsidRDefault="002A2707" w:rsidP="002A2707">
      <w:pPr>
        <w:spacing w:after="0" w:line="360" w:lineRule="auto"/>
        <w:ind w:left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ככל שלא שולמו מזונות הקטינות השוטפים ומדור על ידי האב לידי האם בהתאם לפסק הדין ממועד מתן ההחלטה ביום 11.12.23 – לא ייגבו.</w:t>
      </w:r>
    </w:p>
    <w:p w:rsidR="002A2707" w:rsidRPr="002A2707" w:rsidRDefault="002A2707" w:rsidP="002A2707">
      <w:pPr>
        <w:spacing w:after="0" w:line="360" w:lineRule="auto"/>
        <w:ind w:left="720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ככל ששולמו מזונות על ידי האב לידי האם בתקופה זו – טענות בדבר החזר הכספים (אם נאכלו אם לאו) ייבחנו במסגרת ברור ההליך העיקרי.</w:t>
      </w:r>
    </w:p>
    <w:p w:rsidR="002A2707" w:rsidRPr="002A2707" w:rsidRDefault="002A2707" w:rsidP="002A2707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</w:p>
    <w:p w:rsidR="002A2707" w:rsidRPr="002A2707" w:rsidRDefault="002A2707" w:rsidP="002A2707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מובהר כי מדובר בהחלטה זמנית, אשוב ואדרש לעניין חלוקת צרכי הקטינות בין ההורים במועד דיון קדם המשפט הקבוע ליום 8.12.24.</w:t>
      </w:r>
    </w:p>
    <w:p w:rsidR="002A2707" w:rsidRPr="002A2707" w:rsidRDefault="002A2707" w:rsidP="002A2707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>על האם להגיש כתב הגנה במועד.</w:t>
      </w:r>
    </w:p>
    <w:p w:rsidR="002A2707" w:rsidRPr="002A2707" w:rsidRDefault="002A2707" w:rsidP="002A2707">
      <w:pPr>
        <w:spacing w:after="0" w:line="360" w:lineRule="auto"/>
        <w:jc w:val="both"/>
        <w:rPr>
          <w:rFonts w:ascii="Arial" w:eastAsia="Times New Roman" w:hAnsi="Arial" w:cs="David"/>
          <w:b/>
          <w:bCs/>
          <w:sz w:val="24"/>
          <w:szCs w:val="24"/>
          <w:rtl/>
        </w:rPr>
      </w:pPr>
      <w:r w:rsidRPr="002A2707">
        <w:rPr>
          <w:rFonts w:ascii="Arial" w:eastAsia="Times New Roman" w:hAnsi="Arial" w:cs="David"/>
          <w:b/>
          <w:bCs/>
          <w:sz w:val="24"/>
          <w:szCs w:val="24"/>
          <w:rtl/>
        </w:rPr>
        <w:t xml:space="preserve">עד 10 ימים לפני הדיון הקבוע כל אחד מהצדדים יסרוק אסמכתאות על הכנסות מכל מקור, תדפיסי חשבונות בנק וכרטיסי אשראי </w:t>
      </w:r>
      <w:proofErr w:type="spellStart"/>
      <w:r w:rsidRPr="002A2707">
        <w:rPr>
          <w:rFonts w:ascii="Arial" w:eastAsia="Times New Roman" w:hAnsi="Arial" w:cs="David"/>
          <w:b/>
          <w:bCs/>
          <w:sz w:val="24"/>
          <w:szCs w:val="24"/>
          <w:rtl/>
        </w:rPr>
        <w:t>הכל</w:t>
      </w:r>
      <w:proofErr w:type="spellEnd"/>
      <w:r w:rsidRPr="002A2707">
        <w:rPr>
          <w:rFonts w:ascii="Arial" w:eastAsia="Times New Roman" w:hAnsi="Arial" w:cs="David"/>
          <w:b/>
          <w:bCs/>
          <w:sz w:val="24"/>
          <w:szCs w:val="24"/>
          <w:rtl/>
        </w:rPr>
        <w:t xml:space="preserve"> לתקופה של 12 חודשים שקדמו להגשה, אסמכתאות על הוצאות מדור וצרכי הקטינות, והצהרה על שווי רכוש מוערך.</w:t>
      </w:r>
    </w:p>
    <w:p w:rsidR="002A2707" w:rsidRPr="002A2707" w:rsidRDefault="002A2707" w:rsidP="002A2707">
      <w:pPr>
        <w:spacing w:after="0" w:line="360" w:lineRule="auto"/>
        <w:jc w:val="both"/>
        <w:rPr>
          <w:rFonts w:ascii="Arial" w:eastAsia="Times New Roman" w:hAnsi="Arial" w:cs="David"/>
          <w:b/>
          <w:bCs/>
          <w:sz w:val="24"/>
          <w:szCs w:val="24"/>
          <w:rtl/>
        </w:rPr>
      </w:pPr>
    </w:p>
    <w:p w:rsidR="002A2707" w:rsidRPr="002A2707" w:rsidRDefault="002A2707" w:rsidP="002A2707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u w:val="single"/>
          <w:rtl/>
        </w:rPr>
      </w:pPr>
      <w:r w:rsidRPr="002A2707">
        <w:rPr>
          <w:rFonts w:ascii="Arial" w:eastAsia="Times New Roman" w:hAnsi="Arial" w:cs="David"/>
          <w:sz w:val="24"/>
          <w:szCs w:val="24"/>
          <w:u w:val="single"/>
          <w:rtl/>
        </w:rPr>
        <w:t>ההחלטה ניתנת לפרסום ללא פרטים מזהים</w:t>
      </w:r>
    </w:p>
    <w:p w:rsidR="002A2707" w:rsidRPr="002A2707" w:rsidRDefault="002A2707" w:rsidP="002A2707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</w:p>
    <w:p w:rsidR="002A2707" w:rsidRPr="002A2707" w:rsidRDefault="002A2707" w:rsidP="002A2707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  <w:r w:rsidRPr="002A2707">
        <w:rPr>
          <w:rFonts w:ascii="Arial" w:eastAsia="Times New Roman" w:hAnsi="Arial" w:cs="David"/>
          <w:sz w:val="24"/>
          <w:szCs w:val="24"/>
          <w:rtl/>
        </w:rPr>
        <w:t xml:space="preserve">ניתנה היום, </w:t>
      </w:r>
      <w:sdt>
        <w:sdtPr>
          <w:rPr>
            <w:rFonts w:ascii="Times New Roman" w:eastAsia="Times New Roman" w:hAnsi="Times New Roman" w:cs="David"/>
            <w:noProof/>
            <w:sz w:val="24"/>
            <w:szCs w:val="24"/>
            <w:rtl/>
          </w:rPr>
          <w:alias w:val="1455"/>
          <w:tag w:val="1455"/>
          <w:id w:val="1666048407"/>
          <w:text w:multiLine="1"/>
        </w:sdtPr>
        <w:sdtEndPr/>
        <w:sdtContent>
          <w:r w:rsidRPr="002A2707">
            <w:rPr>
              <w:rFonts w:ascii="Times New Roman" w:eastAsia="Times New Roman" w:hAnsi="Times New Roman" w:cs="David"/>
              <w:noProof/>
              <w:sz w:val="24"/>
              <w:szCs w:val="24"/>
              <w:rtl/>
            </w:rPr>
            <w:t>ט"ו תמוז תשפ"ד</w:t>
          </w:r>
        </w:sdtContent>
      </w:sdt>
      <w:r w:rsidRPr="002A2707">
        <w:rPr>
          <w:rFonts w:ascii="Arial" w:eastAsia="Times New Roman" w:hAnsi="Arial" w:cs="David"/>
          <w:sz w:val="24"/>
          <w:szCs w:val="24"/>
          <w:rtl/>
        </w:rPr>
        <w:t xml:space="preserve">, </w:t>
      </w:r>
      <w:sdt>
        <w:sdtPr>
          <w:rPr>
            <w:rFonts w:ascii="Times New Roman" w:eastAsia="Times New Roman" w:hAnsi="Times New Roman" w:cs="David"/>
            <w:noProof/>
            <w:sz w:val="24"/>
            <w:szCs w:val="24"/>
            <w:rtl/>
          </w:rPr>
          <w:alias w:val="1456"/>
          <w:tag w:val="1456"/>
          <w:id w:val="-1186288958"/>
          <w:text w:multiLine="1"/>
        </w:sdtPr>
        <w:sdtEndPr/>
        <w:sdtContent>
          <w:r w:rsidRPr="002A2707">
            <w:rPr>
              <w:rFonts w:ascii="Times New Roman" w:eastAsia="Times New Roman" w:hAnsi="Times New Roman" w:cs="David"/>
              <w:noProof/>
              <w:sz w:val="24"/>
              <w:szCs w:val="24"/>
              <w:rtl/>
            </w:rPr>
            <w:t>21 יולי 2024</w:t>
          </w:r>
        </w:sdtContent>
      </w:sdt>
      <w:r w:rsidRPr="002A2707">
        <w:rPr>
          <w:rFonts w:ascii="Arial" w:eastAsia="Times New Roman" w:hAnsi="Arial" w:cs="David"/>
          <w:sz w:val="24"/>
          <w:szCs w:val="24"/>
          <w:rtl/>
        </w:rPr>
        <w:t>, בהעדר הצדדים.</w:t>
      </w:r>
    </w:p>
    <w:p w:rsidR="002A2707" w:rsidRPr="002A2707" w:rsidRDefault="00FB3519" w:rsidP="002A2707">
      <w:pPr>
        <w:tabs>
          <w:tab w:val="left" w:pos="2553"/>
        </w:tabs>
        <w:spacing w:after="0" w:line="240" w:lineRule="auto"/>
        <w:ind w:left="5040"/>
        <w:rPr>
          <w:rFonts w:ascii="Times New Roman" w:eastAsia="Times New Roman" w:hAnsi="Times New Roman" w:cs="David"/>
          <w:noProof/>
          <w:sz w:val="24"/>
          <w:szCs w:val="24"/>
          <w:rtl/>
        </w:rPr>
      </w:pPr>
      <w:sdt>
        <w:sdtPr>
          <w:rPr>
            <w:rFonts w:ascii="Times New Roman" w:eastAsia="Times New Roman" w:hAnsi="Times New Roman" w:cs="David"/>
            <w:noProof/>
            <w:sz w:val="24"/>
            <w:szCs w:val="24"/>
            <w:rtl/>
          </w:rPr>
          <w:alias w:val="2045"/>
          <w:tag w:val="2045"/>
          <w:id w:val="740689340"/>
          <w:placeholder>
            <w:docPart w:val="B9E6080D0B3B4962B4CC712DDA0CF7F8"/>
          </w:placeholder>
          <w:showingPlcHdr/>
          <w:text w:multiLine="1"/>
        </w:sdtPr>
        <w:sdtEndPr/>
        <w:sdtContent>
          <w:r w:rsidR="002A2707" w:rsidRPr="002A2707">
            <w:rPr>
              <w:rFonts w:ascii="Times New Roman" w:eastAsia="Times New Roman" w:hAnsi="Times New Roman" w:cs="David"/>
              <w:noProof/>
              <w:sz w:val="24"/>
              <w:szCs w:val="24"/>
              <w:rtl/>
            </w:rPr>
            <w:t xml:space="preserve">     </w:t>
          </w:r>
        </w:sdtContent>
      </w:sdt>
    </w:p>
    <w:p w:rsidR="002A2707" w:rsidRPr="002A2707" w:rsidRDefault="002A2707" w:rsidP="002A2707">
      <w:pPr>
        <w:tabs>
          <w:tab w:val="left" w:pos="2553"/>
        </w:tabs>
        <w:spacing w:after="0" w:line="240" w:lineRule="auto"/>
        <w:rPr>
          <w:rFonts w:ascii="Times New Roman" w:eastAsia="Times New Roman" w:hAnsi="Times New Roman" w:cs="David"/>
          <w:noProof/>
          <w:sz w:val="24"/>
          <w:szCs w:val="24"/>
          <w:rtl/>
        </w:rPr>
      </w:pPr>
      <w:r w:rsidRPr="002A2707">
        <w:rPr>
          <w:rFonts w:ascii="Times New Roman" w:eastAsia="Times New Roman" w:hAnsi="Times New Roman" w:cs="David"/>
          <w:noProof/>
          <w:sz w:val="24"/>
          <w:szCs w:val="24"/>
          <w:rtl/>
        </w:rPr>
        <w:tab/>
      </w:r>
      <w:r w:rsidRPr="002A2707">
        <w:rPr>
          <w:rFonts w:ascii="Times New Roman" w:eastAsia="Times New Roman" w:hAnsi="Times New Roman" w:cs="David"/>
          <w:noProof/>
          <w:sz w:val="24"/>
          <w:szCs w:val="24"/>
          <w:rtl/>
        </w:rPr>
        <w:tab/>
      </w:r>
      <w:r w:rsidRPr="002A2707">
        <w:rPr>
          <w:rFonts w:ascii="Times New Roman" w:eastAsia="Times New Roman" w:hAnsi="Times New Roman" w:cs="David"/>
          <w:noProof/>
          <w:sz w:val="24"/>
          <w:szCs w:val="24"/>
          <w:rtl/>
        </w:rPr>
        <w:tab/>
      </w:r>
      <w:r w:rsidRPr="002A2707">
        <w:rPr>
          <w:rFonts w:ascii="Times New Roman" w:eastAsia="Times New Roman" w:hAnsi="Times New Roman" w:cs="David"/>
          <w:noProof/>
          <w:sz w:val="24"/>
          <w:szCs w:val="24"/>
          <w:rtl/>
        </w:rPr>
        <w:tab/>
        <w:t xml:space="preserve">        </w:t>
      </w:r>
      <w:sdt>
        <w:sdtPr>
          <w:rPr>
            <w:rFonts w:ascii="Times New Roman" w:eastAsia="Times New Roman" w:hAnsi="Times New Roman" w:cs="David"/>
            <w:noProof/>
            <w:sz w:val="24"/>
            <w:szCs w:val="24"/>
            <w:rtl/>
          </w:rPr>
          <w:alias w:val="MergeField"/>
          <w:tag w:val="1237"/>
          <w:id w:val="-1177653916"/>
        </w:sdtPr>
        <w:sdtEndPr/>
        <w:sdtContent>
          <w:r w:rsidRPr="002A2707">
            <w:rPr>
              <w:rFonts w:ascii="Times New Roman" w:eastAsia="Times New Roman" w:hAnsi="Times New Roman" w:cs="David"/>
              <w:noProof/>
              <w:sz w:val="24"/>
              <w:szCs w:val="24"/>
            </w:rPr>
            <w:drawing>
              <wp:inline distT="0" distB="0" distL="0" distR="0" wp14:anchorId="662A0B21" wp14:editId="661F1395">
                <wp:extent cx="1628775" cy="628650"/>
                <wp:effectExtent l="0" t="0" r="9525" b="0"/>
                <wp:docPr id="2" name="תמונה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:rsidR="002A2707" w:rsidRPr="002A2707" w:rsidRDefault="002A2707" w:rsidP="002A2707">
      <w:pPr>
        <w:tabs>
          <w:tab w:val="left" w:pos="2553"/>
        </w:tabs>
        <w:spacing w:after="0" w:line="240" w:lineRule="auto"/>
        <w:rPr>
          <w:rFonts w:ascii="Arial" w:eastAsia="Times New Roman" w:hAnsi="Arial" w:cs="David"/>
          <w:sz w:val="24"/>
          <w:szCs w:val="24"/>
        </w:rPr>
      </w:pPr>
    </w:p>
    <w:p w:rsidR="00E94522" w:rsidRDefault="00E94522"/>
    <w:sectPr w:rsidR="00E94522" w:rsidSect="00A16D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519" w:rsidRDefault="00FB3519" w:rsidP="002A2707">
      <w:pPr>
        <w:spacing w:after="0" w:line="240" w:lineRule="auto"/>
      </w:pPr>
      <w:r>
        <w:separator/>
      </w:r>
    </w:p>
  </w:endnote>
  <w:endnote w:type="continuationSeparator" w:id="0">
    <w:p w:rsidR="00FB3519" w:rsidRDefault="00FB3519" w:rsidP="002A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2F9" w:rsidRDefault="00F572F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2F9" w:rsidRDefault="00F572F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2F9" w:rsidRDefault="00F572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519" w:rsidRDefault="00FB3519" w:rsidP="002A2707">
      <w:pPr>
        <w:spacing w:after="0" w:line="240" w:lineRule="auto"/>
      </w:pPr>
      <w:r>
        <w:separator/>
      </w:r>
    </w:p>
  </w:footnote>
  <w:footnote w:type="continuationSeparator" w:id="0">
    <w:p w:rsidR="00FB3519" w:rsidRDefault="00FB3519" w:rsidP="002A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2F9" w:rsidRDefault="00F572F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4809"/>
      <w:gridCol w:w="3497"/>
    </w:tblGrid>
    <w:tr w:rsidR="002A2707" w:rsidRPr="002A2707" w:rsidTr="002A2707">
      <w:trPr>
        <w:trHeight w:val="704"/>
        <w:jc w:val="center"/>
      </w:trPr>
      <w:sdt>
        <w:sdtPr>
          <w:rPr>
            <w:rFonts w:ascii="Tahoma" w:eastAsia="Times New Roman" w:hAnsi="Tahoma" w:cs="David"/>
            <w:noProof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  <w:hideMark/>
            </w:tcPr>
            <w:p w:rsidR="002A2707" w:rsidRPr="002A2707" w:rsidRDefault="002A2707" w:rsidP="002A2707">
              <w:pPr>
                <w:tabs>
                  <w:tab w:val="center" w:pos="4153"/>
                  <w:tab w:val="right" w:pos="8306"/>
                </w:tabs>
                <w:spacing w:after="0" w:line="240" w:lineRule="auto"/>
                <w:jc w:val="center"/>
                <w:rPr>
                  <w:rFonts w:ascii="Tahoma" w:eastAsia="Times New Roman" w:hAnsi="Tahoma" w:cs="David"/>
                  <w:noProof/>
                  <w:color w:val="000080"/>
                  <w:sz w:val="32"/>
                  <w:szCs w:val="32"/>
                </w:rPr>
              </w:pPr>
              <w:r w:rsidRPr="002A2707">
                <w:rPr>
                  <w:rFonts w:ascii="Tahoma" w:eastAsia="Times New Roman" w:hAnsi="Tahoma" w:cs="David"/>
                  <w:noProof/>
                  <w:color w:val="000080"/>
                  <w:sz w:val="32"/>
                  <w:szCs w:val="32"/>
                  <w:rtl/>
                </w:rPr>
                <w:t>בית משפט לענייני משפחה בפתח תקווה</w:t>
              </w:r>
            </w:p>
          </w:tc>
        </w:sdtContent>
      </w:sdt>
    </w:tr>
    <w:tr w:rsidR="002A2707" w:rsidRPr="002A2707" w:rsidTr="002A2707">
      <w:trPr>
        <w:trHeight w:val="337"/>
        <w:jc w:val="center"/>
      </w:trPr>
      <w:tc>
        <w:tcPr>
          <w:tcW w:w="5047" w:type="dxa"/>
        </w:tcPr>
        <w:p w:rsidR="002A2707" w:rsidRPr="002A2707" w:rsidRDefault="002A2707" w:rsidP="002A2707">
          <w:pPr>
            <w:spacing w:after="0" w:line="240" w:lineRule="auto"/>
            <w:rPr>
              <w:rFonts w:ascii="Times New Roman" w:eastAsia="Times New Roman" w:hAnsi="Times New Roman" w:cs="David"/>
              <w:b/>
              <w:bCs/>
              <w:sz w:val="26"/>
              <w:szCs w:val="26"/>
              <w:rtl/>
            </w:rPr>
          </w:pPr>
        </w:p>
      </w:tc>
      <w:tc>
        <w:tcPr>
          <w:tcW w:w="3674" w:type="dxa"/>
        </w:tcPr>
        <w:p w:rsidR="002A2707" w:rsidRPr="002A2707" w:rsidRDefault="002A2707" w:rsidP="002A2707">
          <w:pPr>
            <w:tabs>
              <w:tab w:val="center" w:pos="4153"/>
              <w:tab w:val="right" w:pos="8306"/>
            </w:tabs>
            <w:spacing w:after="0" w:line="240" w:lineRule="auto"/>
            <w:jc w:val="right"/>
            <w:rPr>
              <w:rFonts w:ascii="Times New Roman" w:eastAsia="Times New Roman" w:hAnsi="Times New Roman" w:cs="David"/>
              <w:b/>
              <w:bCs/>
              <w:sz w:val="26"/>
              <w:szCs w:val="26"/>
              <w:rtl/>
            </w:rPr>
          </w:pPr>
        </w:p>
      </w:tc>
    </w:tr>
    <w:tr w:rsidR="002A2707" w:rsidRPr="002A2707" w:rsidTr="002A2707">
      <w:trPr>
        <w:trHeight w:val="337"/>
        <w:jc w:val="center"/>
      </w:trPr>
      <w:tc>
        <w:tcPr>
          <w:tcW w:w="8721" w:type="dxa"/>
          <w:gridSpan w:val="2"/>
        </w:tcPr>
        <w:p w:rsidR="002A2707" w:rsidRPr="002A2707" w:rsidRDefault="00FB3519" w:rsidP="002A2707">
          <w:pPr>
            <w:spacing w:after="0" w:line="240" w:lineRule="auto"/>
            <w:rPr>
              <w:rFonts w:ascii="Times New Roman" w:eastAsia="Times New Roman" w:hAnsi="Times New Roman" w:cs="David"/>
              <w:b/>
              <w:bCs/>
              <w:sz w:val="26"/>
              <w:szCs w:val="26"/>
              <w:rtl/>
            </w:rPr>
          </w:pPr>
          <w:sdt>
            <w:sdtPr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2A2707" w:rsidRPr="002A2707">
                <w:rPr>
                  <w:rFonts w:ascii="Times New Roman" w:eastAsia="Times New Roman" w:hAnsi="Times New Roman" w:cs="David"/>
                  <w:b/>
                  <w:bCs/>
                  <w:noProof/>
                  <w:sz w:val="24"/>
                  <w:szCs w:val="24"/>
                  <w:rtl/>
                </w:rPr>
                <w:t>תלה"מ</w:t>
              </w:r>
            </w:sdtContent>
          </w:sdt>
          <w:r w:rsidR="002A2707" w:rsidRPr="002A2707">
            <w:rPr>
              <w:rFonts w:ascii="Times New Roman" w:eastAsia="Times New Roman" w:hAnsi="Times New Roman" w:cs="David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2A2707" w:rsidRPr="002A2707">
                <w:rPr>
                  <w:rFonts w:ascii="Times New Roman" w:eastAsia="Times New Roman" w:hAnsi="Times New Roman" w:cs="David"/>
                  <w:b/>
                  <w:bCs/>
                  <w:noProof/>
                  <w:sz w:val="24"/>
                  <w:szCs w:val="24"/>
                  <w:rtl/>
                </w:rPr>
                <w:t>44377-06-24</w:t>
              </w:r>
            </w:sdtContent>
          </w:sdt>
          <w:r w:rsidR="002A2707">
            <w:rPr>
              <w:rFonts w:ascii="Times New Roman" w:eastAsia="Times New Roman" w:hAnsi="Times New Roman" w:cs="David" w:hint="cs"/>
              <w:b/>
              <w:bCs/>
              <w:noProof/>
              <w:sz w:val="24"/>
              <w:szCs w:val="24"/>
              <w:rtl/>
            </w:rPr>
            <w:t xml:space="preserve"> א.י. נ' ד.י.</w:t>
          </w:r>
        </w:p>
        <w:p w:rsidR="002A2707" w:rsidRPr="002A2707" w:rsidRDefault="002A2707" w:rsidP="002A2707">
          <w:pPr>
            <w:spacing w:after="0" w:line="240" w:lineRule="auto"/>
            <w:rPr>
              <w:rFonts w:ascii="Times New Roman" w:eastAsia="Times New Roman" w:hAnsi="Times New Roman" w:cs="David"/>
              <w:b/>
              <w:bCs/>
              <w:noProof/>
              <w:sz w:val="20"/>
              <w:szCs w:val="20"/>
              <w:rtl/>
            </w:rPr>
          </w:pPr>
          <w:r w:rsidRPr="002A2707">
            <w:rPr>
              <w:rFonts w:ascii="Times New Roman" w:eastAsia="Times New Roman" w:hAnsi="Times New Roman" w:cs="David"/>
              <w:b/>
              <w:bCs/>
              <w:noProof/>
              <w:sz w:val="24"/>
              <w:szCs w:val="24"/>
              <w:rtl/>
            </w:rPr>
            <w:t xml:space="preserve">                           </w:t>
          </w:r>
          <w:r w:rsidRPr="002A2707">
            <w:rPr>
              <w:rFonts w:ascii="Times New Roman" w:eastAsia="Times New Roman" w:hAnsi="Times New Roman" w:cs="David"/>
              <w:b/>
              <w:bCs/>
              <w:noProof/>
              <w:sz w:val="20"/>
              <w:szCs w:val="20"/>
              <w:rtl/>
            </w:rPr>
            <w:t xml:space="preserve">                                       </w:t>
          </w:r>
        </w:p>
        <w:p w:rsidR="002A2707" w:rsidRPr="002A2707" w:rsidRDefault="002A2707" w:rsidP="002A2707">
          <w:pPr>
            <w:spacing w:after="0" w:line="240" w:lineRule="auto"/>
            <w:rPr>
              <w:rFonts w:ascii="Times New Roman" w:eastAsia="Times New Roman" w:hAnsi="Times New Roman" w:cs="David"/>
              <w:noProof/>
              <w:sz w:val="20"/>
              <w:szCs w:val="20"/>
              <w:rtl/>
            </w:rPr>
          </w:pPr>
          <w:r w:rsidRPr="002A2707">
            <w:rPr>
              <w:rFonts w:ascii="Times New Roman" w:eastAsia="Times New Roman" w:hAnsi="Times New Roman" w:cs="David"/>
              <w:noProof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ascii="Times New Roman" w:eastAsia="Times New Roman" w:hAnsi="Times New Roman" w:cs="David"/>
                <w:noProof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076C3272111746478F6FC8F999C67671"/>
              </w:placeholder>
              <w:text w:multiLine="1"/>
            </w:sdtPr>
            <w:sdtEndPr/>
            <w:sdtContent/>
          </w:sdt>
          <w:r w:rsidRPr="002A2707">
            <w:rPr>
              <w:rFonts w:ascii="Times New Roman" w:eastAsia="Times New Roman" w:hAnsi="Times New Roman" w:cs="David"/>
              <w:noProof/>
              <w:sz w:val="20"/>
              <w:szCs w:val="20"/>
              <w:rtl/>
            </w:rPr>
            <w:t xml:space="preserve">   </w:t>
          </w:r>
        </w:p>
      </w:tc>
    </w:tr>
  </w:tbl>
  <w:p w:rsidR="002A2707" w:rsidRDefault="002A27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2F9" w:rsidRDefault="00F572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655"/>
    <w:rsid w:val="002A2707"/>
    <w:rsid w:val="00391655"/>
    <w:rsid w:val="00A16DD5"/>
    <w:rsid w:val="00E94522"/>
    <w:rsid w:val="00F572F9"/>
    <w:rsid w:val="00FB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FB3284-A611-4520-9B8B-976726EAF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2707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A27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2A2707"/>
  </w:style>
  <w:style w:type="paragraph" w:styleId="a6">
    <w:name w:val="footer"/>
    <w:basedOn w:val="a"/>
    <w:link w:val="a7"/>
    <w:uiPriority w:val="99"/>
    <w:unhideWhenUsed/>
    <w:rsid w:val="002A27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2A2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E6080D0B3B4962B4CC712DDA0CF7F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3328F82-BAE6-4CEF-855C-42AC42132D53}"/>
      </w:docPartPr>
      <w:docPartBody>
        <w:p w:rsidR="00AE7ACD" w:rsidRDefault="00E909C6" w:rsidP="00E909C6">
          <w:pPr>
            <w:pStyle w:val="B9E6080D0B3B4962B4CC712DDA0CF7F8"/>
          </w:pPr>
          <w:r>
            <w:rPr>
              <w:rtl/>
            </w:rPr>
            <w:t xml:space="preserve">     </w:t>
          </w:r>
        </w:p>
      </w:docPartBody>
    </w:docPart>
    <w:docPart>
      <w:docPartPr>
        <w:name w:val="076C3272111746478F6FC8F999C67671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3440CD59-8D20-4787-8D57-74839CE437B5}"/>
      </w:docPartPr>
      <w:docPartBody>
        <w:p w:rsidR="00AE7ACD" w:rsidRDefault="00E909C6" w:rsidP="00E909C6">
          <w:pPr>
            <w:pStyle w:val="076C3272111746478F6FC8F999C67671"/>
          </w:pPr>
          <w:r>
            <w:rPr>
              <w:sz w:val="20"/>
              <w:szCs w:val="20"/>
              <w:rtl/>
            </w:rPr>
            <w:t>מספר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9C6"/>
    <w:rsid w:val="00730284"/>
    <w:rsid w:val="00AE7ACD"/>
    <w:rsid w:val="00E9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6D735369954D8BBD9D782E2B3C7095">
    <w:name w:val="006D735369954D8BBD9D782E2B3C7095"/>
    <w:rsid w:val="00E909C6"/>
    <w:pPr>
      <w:bidi/>
    </w:pPr>
  </w:style>
  <w:style w:type="paragraph" w:customStyle="1" w:styleId="8BE45F3946A44BEEA2707EDA771863AD">
    <w:name w:val="8BE45F3946A44BEEA2707EDA771863AD"/>
    <w:rsid w:val="00E909C6"/>
    <w:pPr>
      <w:bidi/>
    </w:pPr>
  </w:style>
  <w:style w:type="paragraph" w:customStyle="1" w:styleId="908066A23C464D33B1273DE93EAFD6FC">
    <w:name w:val="908066A23C464D33B1273DE93EAFD6FC"/>
    <w:rsid w:val="00E909C6"/>
    <w:pPr>
      <w:bidi/>
    </w:pPr>
  </w:style>
  <w:style w:type="paragraph" w:customStyle="1" w:styleId="656FF14A04F84C38AB34A9E7EB168E0E">
    <w:name w:val="656FF14A04F84C38AB34A9E7EB168E0E"/>
    <w:rsid w:val="00E909C6"/>
    <w:pPr>
      <w:bidi/>
    </w:pPr>
  </w:style>
  <w:style w:type="paragraph" w:customStyle="1" w:styleId="B9E6080D0B3B4962B4CC712DDA0CF7F8">
    <w:name w:val="B9E6080D0B3B4962B4CC712DDA0CF7F8"/>
    <w:rsid w:val="00E909C6"/>
    <w:pPr>
      <w:bidi/>
    </w:pPr>
  </w:style>
  <w:style w:type="paragraph" w:customStyle="1" w:styleId="076C3272111746478F6FC8F999C67671">
    <w:name w:val="076C3272111746478F6FC8F999C67671"/>
    <w:rsid w:val="00E909C6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3907</Characters>
  <Application>Microsoft Office Word</Application>
  <DocSecurity>0</DocSecurity>
  <Lines>32</Lines>
  <Paragraphs>9</Paragraphs>
  <ScaleCrop>false</ScaleCrop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עידית בן-דב ג'וליאן</dc:creator>
  <cp:keywords/>
  <dc:description/>
  <cp:lastModifiedBy>רותם כהן</cp:lastModifiedBy>
  <cp:revision>2</cp:revision>
  <dcterms:created xsi:type="dcterms:W3CDTF">2024-07-22T10:00:00Z</dcterms:created>
  <dcterms:modified xsi:type="dcterms:W3CDTF">2024-07-22T10:00:00Z</dcterms:modified>
</cp:coreProperties>
</file>